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EF16DB">
        <w:rPr>
          <w:b/>
          <w:sz w:val="20"/>
          <w:szCs w:val="20"/>
          <w:lang w:val="uk-UA"/>
        </w:rPr>
        <w:t>50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EF16DB">
        <w:rPr>
          <w:b/>
          <w:sz w:val="20"/>
          <w:szCs w:val="20"/>
          <w:lang w:val="uk-UA"/>
        </w:rPr>
        <w:t>31</w:t>
      </w:r>
      <w:r w:rsidR="00417355">
        <w:rPr>
          <w:b/>
          <w:sz w:val="20"/>
          <w:szCs w:val="20"/>
          <w:lang w:val="uk-UA"/>
        </w:rPr>
        <w:t xml:space="preserve"> </w:t>
      </w:r>
      <w:r w:rsidR="001E1A70">
        <w:rPr>
          <w:b/>
          <w:sz w:val="20"/>
          <w:szCs w:val="20"/>
          <w:lang w:val="uk-UA"/>
        </w:rPr>
        <w:t>жовтня</w:t>
      </w:r>
      <w:r w:rsidR="000A0BD8">
        <w:rPr>
          <w:b/>
          <w:sz w:val="20"/>
          <w:szCs w:val="20"/>
          <w:lang w:val="uk-UA"/>
        </w:rPr>
        <w:t xml:space="preserve"> 202</w:t>
      </w:r>
      <w:r w:rsidR="00EF16DB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TableGrid"/>
        <w:tblW w:w="15842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851"/>
        <w:gridCol w:w="851"/>
        <w:gridCol w:w="1417"/>
        <w:gridCol w:w="992"/>
        <w:gridCol w:w="992"/>
        <w:gridCol w:w="1134"/>
        <w:gridCol w:w="1559"/>
      </w:tblGrid>
      <w:tr w:rsidR="00DD6CBD" w:rsidRPr="00BB7B39" w:rsidTr="005E099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85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559" w:type="dxa"/>
          </w:tcPr>
          <w:p w:rsidR="00475CAA" w:rsidRPr="00BB7B39" w:rsidRDefault="00475CAA" w:rsidP="005E0990">
            <w:pPr>
              <w:ind w:left="176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схвалення звернення Нікопольської міської ради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ІІІ скликання</w:t>
            </w:r>
            <w:r w:rsidRPr="00EF16D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щодо підтримки Плану перемоги, представленого Президентом України Володимиром Зеленським.</w:t>
            </w:r>
          </w:p>
        </w:tc>
        <w:tc>
          <w:tcPr>
            <w:tcW w:w="1560" w:type="dxa"/>
          </w:tcPr>
          <w:p w:rsidR="00EF16DB" w:rsidRPr="00BB7B39" w:rsidRDefault="00EF16DB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3954D8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4173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Міський голова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Анохіну Роману Ігоровичу (посмертно).</w:t>
            </w:r>
          </w:p>
        </w:tc>
        <w:tc>
          <w:tcPr>
            <w:tcW w:w="1560" w:type="dxa"/>
          </w:tcPr>
          <w:p w:rsidR="00EF16DB" w:rsidRPr="00BB7B39" w:rsidRDefault="00EF16DB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0942D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</w:t>
            </w:r>
          </w:p>
          <w:p w:rsidR="00EF16DB" w:rsidRPr="00114939" w:rsidRDefault="00EF16DB" w:rsidP="000942D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забезпечення діяльності</w:t>
            </w:r>
          </w:p>
          <w:p w:rsidR="00EF16DB" w:rsidRPr="00114939" w:rsidRDefault="00EF16DB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виконавчих органів міської ради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Жуковському Олександру Анатолійовичу (посмертно).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</w:t>
            </w:r>
          </w:p>
          <w:p w:rsidR="00EF16DB" w:rsidRPr="00114939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забезпечення діяльності</w:t>
            </w:r>
          </w:p>
          <w:p w:rsidR="00EF16DB" w:rsidRPr="00114939" w:rsidRDefault="00EF16DB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виконавчих органів міської ради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Лесику Володимиру Дмитровичу (посмертно).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</w:t>
            </w:r>
          </w:p>
          <w:p w:rsidR="00EF16DB" w:rsidRPr="00114939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забезпечення діяльності</w:t>
            </w:r>
          </w:p>
          <w:p w:rsidR="00EF16DB" w:rsidRPr="00114939" w:rsidRDefault="00EF16DB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виконавчих органів міської ради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Хомову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Олексію Олександровичу (посмертно).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</w:t>
            </w:r>
          </w:p>
          <w:p w:rsidR="00EF16DB" w:rsidRPr="00114939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забезпечення діяльності</w:t>
            </w:r>
          </w:p>
          <w:p w:rsidR="00EF16DB" w:rsidRPr="00114939" w:rsidRDefault="00EF16DB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виконавчих органів міської ради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EF16DB" w:rsidRPr="00EF16DB" w:rsidRDefault="006069ED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69ED">
              <w:rPr>
                <w:sz w:val="16"/>
                <w:szCs w:val="16"/>
              </w:rPr>
              <w:pict>
                <v:line id="_x0000_s53974" style="position:absolute;left:0;text-align:left;z-index:2516695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EF16DB"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дострокове припинення повноважень депутата Нікопольської міської ради </w:t>
            </w:r>
            <w:r w:rsidR="00EF16DB" w:rsidRPr="00EF16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EF16DB"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ІІІ скликання Бовкуна Євгена Івановича.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7.</w:t>
            </w:r>
          </w:p>
        </w:tc>
        <w:tc>
          <w:tcPr>
            <w:tcW w:w="2977" w:type="dxa"/>
          </w:tcPr>
          <w:p w:rsidR="00EF16DB" w:rsidRPr="00EF16DB" w:rsidRDefault="006069ED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69ED">
              <w:rPr>
                <w:sz w:val="16"/>
                <w:szCs w:val="16"/>
              </w:rPr>
              <w:pict>
                <v:line id="_x0000_s53975" style="position:absolute;left:0;text-align:left;z-index:2516705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EF16DB" w:rsidRPr="00EF16D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EF16DB"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дострокове припинення повноважень депутата Нікопольської міської ради </w:t>
            </w:r>
            <w:r w:rsidR="00EF16DB" w:rsidRPr="00EF16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EF16DB"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ІІІ скликання Фельдмана Олега Олександровича.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EF16DB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 питань оборонної та мобілізаційної роботи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до міської  програми сприяння  організації призову громадян на строкову військову службу, 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 xml:space="preserve"> роки.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затвердження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EF16DB" w:rsidRPr="00EF16DB" w:rsidRDefault="006069ED" w:rsidP="00D37C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69ED">
              <w:rPr>
                <w:sz w:val="16"/>
                <w:szCs w:val="16"/>
              </w:rPr>
              <w:pict>
                <v:line id="_x0000_s53982" style="position:absolute;left:0;text-align:left;z-index:25167872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EF16DB"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додатку 1 міської Програми «ТУРБОТА» на 2022-2024 роки, а також змін та доповнень до додатку 1 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                      м. Нікополя «ЗАХИСНИК УКРАЇНИ» на 2022-2024 роки, затвердженої рішенням міської ради від 29.03.2024 № 12-43/VIIІ.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EF16DB">
            <w:pPr>
              <w:tabs>
                <w:tab w:val="left" w:pos="3402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="006069ED" w:rsidRPr="006069ED">
              <w:rPr>
                <w:sz w:val="16"/>
                <w:szCs w:val="16"/>
              </w:rPr>
              <w:pict>
                <v:line id="_x0000_s53983" style="position:absolute;left:0;text-align:left;z-index:25167974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 затвердження Порядку відшкодування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 у новій редакції.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створення Ради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безбар’єрності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Нікопольської міської територіальної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громади та затвердження її складу.  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13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соціальної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політики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14.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1E1A7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726757">
            <w:pPr>
              <w:ind w:right="8423"/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pStyle w:val="a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Про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міст Дніпропетровської області та обліковується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на субрахунку департаменту охорони здоров’я Дніпропетровської обласної державної адміністрації.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EF16D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на списання комунального майна територіальної громади м. Нікополя, що перебуває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в оперативному управлінні (на балансі) комунального підприємства «Нікопольська міська лікарня №4» Нікопольської міської ради».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pStyle w:val="PlainText"/>
              <w:tabs>
                <w:tab w:val="left" w:pos="4320"/>
              </w:tabs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16DB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EF16DB">
              <w:rPr>
                <w:rFonts w:ascii="Times New Roman" w:hAnsi="Times New Roman"/>
                <w:sz w:val="16"/>
                <w:szCs w:val="16"/>
              </w:rPr>
              <w:t xml:space="preserve">ро безоплатну передачу комунального майна </w:t>
            </w:r>
            <w:r w:rsidRPr="00EF16DB">
              <w:rPr>
                <w:rFonts w:ascii="Times New Roman" w:hAnsi="Times New Roman"/>
                <w:spacing w:val="-4"/>
                <w:sz w:val="16"/>
                <w:szCs w:val="16"/>
              </w:rPr>
              <w:t>до державної власності</w:t>
            </w:r>
            <w:r w:rsidRPr="00EF16DB">
              <w:rPr>
                <w:rFonts w:ascii="Times New Roman" w:hAnsi="Times New Roman"/>
                <w:sz w:val="16"/>
                <w:szCs w:val="16"/>
              </w:rPr>
              <w:t xml:space="preserve"> в особі Міністерства Оборони України</w:t>
            </w:r>
            <w:r w:rsidRPr="00EF16D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, </w:t>
            </w:r>
            <w:r w:rsidRPr="00EF16DB">
              <w:rPr>
                <w:rFonts w:ascii="Times New Roman" w:hAnsi="Times New Roman"/>
                <w:sz w:val="16"/>
                <w:szCs w:val="16"/>
              </w:rPr>
              <w:t>для військової частини А4698 в умовах правового режиму воєнного стану</w:t>
            </w:r>
            <w:r w:rsidRPr="00EF16DB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EF16D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16DB" w:rsidRPr="00114939" w:rsidRDefault="00EF16DB" w:rsidP="00004C9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pStyle w:val="PlainText"/>
              <w:tabs>
                <w:tab w:val="left" w:pos="4320"/>
              </w:tabs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16DB">
              <w:rPr>
                <w:rFonts w:ascii="Times New Roman" w:hAnsi="Times New Roman"/>
                <w:sz w:val="16"/>
                <w:szCs w:val="16"/>
                <w:lang w:val="ru-RU"/>
              </w:rPr>
              <w:t>П</w:t>
            </w:r>
            <w:proofErr w:type="spellStart"/>
            <w:r w:rsidRPr="00EF16DB">
              <w:rPr>
                <w:rFonts w:ascii="Times New Roman" w:hAnsi="Times New Roman"/>
                <w:sz w:val="16"/>
                <w:szCs w:val="16"/>
              </w:rPr>
              <w:t>ро</w:t>
            </w:r>
            <w:proofErr w:type="spellEnd"/>
            <w:r w:rsidRPr="00EF16DB">
              <w:rPr>
                <w:rFonts w:ascii="Times New Roman" w:hAnsi="Times New Roman"/>
                <w:sz w:val="16"/>
                <w:szCs w:val="16"/>
              </w:rPr>
              <w:t xml:space="preserve"> безоплатну передачу комунального майна </w:t>
            </w:r>
            <w:r w:rsidRPr="00EF16DB">
              <w:rPr>
                <w:rFonts w:ascii="Times New Roman" w:hAnsi="Times New Roman"/>
                <w:spacing w:val="-4"/>
                <w:sz w:val="16"/>
                <w:szCs w:val="16"/>
              </w:rPr>
              <w:t>до державної власності</w:t>
            </w:r>
            <w:r w:rsidRPr="00EF16DB">
              <w:rPr>
                <w:rFonts w:ascii="Times New Roman" w:hAnsi="Times New Roman"/>
                <w:sz w:val="16"/>
                <w:szCs w:val="16"/>
              </w:rPr>
              <w:t xml:space="preserve"> в особі Міністерства</w:t>
            </w:r>
            <w:proofErr w:type="gramStart"/>
            <w:r w:rsidRPr="00EF16DB"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proofErr w:type="gramEnd"/>
            <w:r w:rsidRPr="00EF16DB">
              <w:rPr>
                <w:rFonts w:ascii="Times New Roman" w:hAnsi="Times New Roman"/>
                <w:sz w:val="16"/>
                <w:szCs w:val="16"/>
              </w:rPr>
              <w:t>борони України</w:t>
            </w:r>
            <w:r w:rsidRPr="00EF16D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, </w:t>
            </w:r>
            <w:r w:rsidRPr="00EF16DB">
              <w:rPr>
                <w:rFonts w:ascii="Times New Roman" w:hAnsi="Times New Roman"/>
                <w:sz w:val="16"/>
                <w:szCs w:val="16"/>
              </w:rPr>
              <w:t>для військової частини А0536 в умовах правового режиму воєнного стану</w:t>
            </w:r>
            <w:r w:rsidRPr="00EF16DB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093DC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16DB" w:rsidRPr="00114939" w:rsidRDefault="00EF16DB" w:rsidP="00093DC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А7221) в умовах правового режиму воєнного стану.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 w:rsidP="00093DC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А0593 (в інтересах військової частини А4882) в умовах правового режиму воєнного стану.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EF16D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16DB" w:rsidRPr="00BB7B39" w:rsidTr="005E0990">
        <w:tc>
          <w:tcPr>
            <w:tcW w:w="533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EF16DB" w:rsidRPr="00EF16DB" w:rsidRDefault="00EF16DB" w:rsidP="00D37C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EF16DB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Оборони </w:t>
            </w:r>
            <w:proofErr w:type="spellStart"/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EF16DB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Нікопольського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районного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територіального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центру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комплектування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соціальної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підтримки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воєнного стану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22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16DB" w:rsidRPr="00BB7B39" w:rsidRDefault="00EF16D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EF16DB" w:rsidRPr="00114939" w:rsidRDefault="00EF16DB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EF16DB" w:rsidRPr="00114939" w:rsidRDefault="00D37C3A" w:rsidP="00D37C3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16DB" w:rsidRPr="00114939" w:rsidRDefault="00EF16D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16DB" w:rsidRPr="00114939" w:rsidRDefault="00EF16DB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16DB" w:rsidRPr="00BB7B39" w:rsidRDefault="00EF1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7C3A" w:rsidRPr="00BB7B39" w:rsidTr="005E0990">
        <w:tc>
          <w:tcPr>
            <w:tcW w:w="533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7" w:type="dxa"/>
          </w:tcPr>
          <w:p w:rsidR="00D37C3A" w:rsidRPr="00EF16DB" w:rsidRDefault="00D37C3A" w:rsidP="00D37C3A">
            <w:pPr>
              <w:pStyle w:val="PlainText"/>
              <w:tabs>
                <w:tab w:val="left" w:pos="432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16DB">
              <w:rPr>
                <w:rFonts w:ascii="Times New Roman" w:hAnsi="Times New Roman"/>
                <w:sz w:val="16"/>
                <w:szCs w:val="16"/>
              </w:rPr>
              <w:t>Про надання згоди на безоплатну передачу з державної власності із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індивідуально-визначеного майна (планшетів).</w:t>
            </w:r>
          </w:p>
        </w:tc>
        <w:tc>
          <w:tcPr>
            <w:tcW w:w="1560" w:type="dxa"/>
          </w:tcPr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D37C3A" w:rsidRPr="00114939" w:rsidRDefault="00D37C3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D37C3A" w:rsidRPr="00114939" w:rsidRDefault="00D37C3A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7C3A" w:rsidRPr="00114939" w:rsidRDefault="00D37C3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7C3A" w:rsidRPr="00BB7B39" w:rsidTr="005E0990">
        <w:tc>
          <w:tcPr>
            <w:tcW w:w="533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D37C3A" w:rsidRPr="00EF16DB" w:rsidRDefault="00D37C3A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згоди на безоплатну передачу до комунальної власності Нікопольської міської територіальної громади майна.</w:t>
            </w:r>
          </w:p>
        </w:tc>
        <w:tc>
          <w:tcPr>
            <w:tcW w:w="1560" w:type="dxa"/>
          </w:tcPr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24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D37C3A" w:rsidRPr="00114939" w:rsidRDefault="00D37C3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D37C3A" w:rsidRPr="00114939" w:rsidRDefault="00D37C3A" w:rsidP="00D37C3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7C3A" w:rsidRPr="00114939" w:rsidRDefault="00D37C3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7C3A" w:rsidRPr="00BB7B39" w:rsidTr="005E0990">
        <w:tc>
          <w:tcPr>
            <w:tcW w:w="533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D37C3A" w:rsidRPr="00EF16DB" w:rsidRDefault="00D37C3A" w:rsidP="00D37C3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Pr="00EF16D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ро надання </w:t>
            </w:r>
            <w:r w:rsidRPr="00EF16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згоди на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безоплатну </w:t>
            </w:r>
            <w:r w:rsidRPr="00EF16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передачу до комунальної власності Нікопольської міської територіальної громади міжнародної технічної допомоги.</w:t>
            </w:r>
          </w:p>
        </w:tc>
        <w:tc>
          <w:tcPr>
            <w:tcW w:w="1560" w:type="dxa"/>
          </w:tcPr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25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D37C3A" w:rsidRPr="00114939" w:rsidRDefault="00D37C3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D37C3A" w:rsidRPr="00114939" w:rsidRDefault="00D37C3A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7C3A" w:rsidRPr="00114939" w:rsidRDefault="00D37C3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7C3A" w:rsidRPr="00BB7B39" w:rsidTr="005E0990">
        <w:tc>
          <w:tcPr>
            <w:tcW w:w="533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D37C3A" w:rsidRPr="00EF16DB" w:rsidRDefault="00D37C3A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26.09.2024 № 16-49/VIII та затвердити її у новій редакції.</w:t>
            </w:r>
          </w:p>
        </w:tc>
        <w:tc>
          <w:tcPr>
            <w:tcW w:w="1560" w:type="dxa"/>
          </w:tcPr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26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D37C3A" w:rsidRPr="00114939" w:rsidRDefault="00D37C3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D37C3A" w:rsidRPr="00114939" w:rsidRDefault="00D37C3A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7C3A" w:rsidRPr="00114939" w:rsidRDefault="00D37C3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7C3A" w:rsidRPr="00BB7B39" w:rsidTr="005E0990">
        <w:tc>
          <w:tcPr>
            <w:tcW w:w="533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D37C3A" w:rsidRPr="00EF16DB" w:rsidRDefault="00D37C3A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27.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26.09.2024 № 15-49/VIII та затвердити її у новій редакції.</w:t>
            </w:r>
          </w:p>
        </w:tc>
        <w:tc>
          <w:tcPr>
            <w:tcW w:w="1560" w:type="dxa"/>
          </w:tcPr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27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D37C3A" w:rsidRPr="00114939" w:rsidRDefault="00D37C3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D37C3A" w:rsidRPr="00114939" w:rsidRDefault="00D37C3A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7C3A" w:rsidRPr="00114939" w:rsidRDefault="00D37C3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7C3A" w:rsidRPr="00BB7B39" w:rsidTr="005E0990">
        <w:tc>
          <w:tcPr>
            <w:tcW w:w="533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D37C3A" w:rsidRPr="00EF16DB" w:rsidRDefault="00D37C3A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26.09.2024 № 14-49/VIII та затвердити її у новій редакції.</w:t>
            </w:r>
          </w:p>
        </w:tc>
        <w:tc>
          <w:tcPr>
            <w:tcW w:w="1560" w:type="dxa"/>
          </w:tcPr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D37C3A" w:rsidRPr="00114939" w:rsidRDefault="00D37C3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D37C3A" w:rsidRPr="00114939" w:rsidRDefault="00D37C3A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7C3A" w:rsidRPr="00114939" w:rsidRDefault="00D37C3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7C3A" w:rsidRPr="00BB7B39" w:rsidTr="005E0990">
        <w:tc>
          <w:tcPr>
            <w:tcW w:w="533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D37C3A" w:rsidRPr="00EF16DB" w:rsidRDefault="00D37C3A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25.07.2024 № 30-47/VIII та затвердити її у новій редакції.</w:t>
            </w:r>
          </w:p>
        </w:tc>
        <w:tc>
          <w:tcPr>
            <w:tcW w:w="1560" w:type="dxa"/>
          </w:tcPr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7C3A" w:rsidRPr="00BB7B39" w:rsidRDefault="00D37C3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D37C3A" w:rsidRPr="00114939" w:rsidRDefault="00D37C3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D37C3A" w:rsidRPr="00114939" w:rsidRDefault="00D37C3A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37C3A" w:rsidRPr="00114939" w:rsidRDefault="00D37C3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7C3A" w:rsidRPr="00114939" w:rsidRDefault="00D37C3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D37C3A" w:rsidRPr="00BB7B39" w:rsidRDefault="00D37C3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та доповнень до додатка 1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30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благоустрою, інфраструктури та комунального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господарства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31.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Pr="00EF16DB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ро виконання Програми соціально-економічного та культурного розвитку Нікопольської міської територіальної громади за 9 місяців 2024 року.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економічного аналізу та прогнозування управління економіки, фінансів та міського бюджету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затвердження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звіту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</w:rPr>
              <w:t xml:space="preserve"> про виконання бюджету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Нікопольської міської територіальної громади </w:t>
            </w:r>
            <w:r w:rsidRPr="00EF16DB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9 місяців 2024 року.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 затвердження звіту про витрачання коштів резервного фонду бюджету Нікопольської міської територіальної громади станом на 01 жовтня 2024 року.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CA20E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726757" w:rsidRPr="00EF16DB" w:rsidRDefault="00726757" w:rsidP="0072675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 до рішення міської ради  від 12 грудня 2023 року № 50-40/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34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змін видатків на 2025 рік для реалізації пунктів 2.1, </w:t>
            </w:r>
            <w:r w:rsidRPr="00EF16DB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4.5, 6.2, 7.1,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заходів міської програми «Комплексна програма охорони довкілля та раціонального використання природних ресурсів м. Нікополя на 2023-2027 роки.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35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екології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Амосову Євгену Михайловичу (ідентифікаційний номер: 2282119270, адреса: вул. Чорноморська, буд. 20, м. Нікополь) земельної ділянки на вул. Чорноморській,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36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громадянці Білій Галині Віталіївні (ідентифікаційний номер: 2938211427, адреса: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Залізний, буд. 7, м. Нікополь) земельної ділянки на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Залізному,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37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встановлення (відновлення) меж земельної ділянки в натурі (на місцевості) та передачу у власність громадянці Білій Тетяні Василівні (ідентифікаційний номер: 2110308728, адреса: вул. Зразкова, буд. 101, м. Нікополь) земельної ділянки на вул. Зразковій, буд. 101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38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39.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Гапич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Леоніді Йосипівні (ідентифікаційний номер: 2022707826, адреса: вул. Петра Калнишевського, буд. 173, м. Нікополь) земельної ділянки на вул. Петра Калнишевського, буд. 173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39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Говорющенко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Діні Олександрівні (3/4 ч.), громадянину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Говорющенку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Володимиру Леонідовичу (1/4 ч.) земельної ділянки на вул. Дмитра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Коцюбайла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40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Гришину Олександру Анатолійовичу (ідентифікаційний номер: 2377711490, адреса: вул. Урожайна, буд. 26-а, м. Нікополь) земельної ділянки на вул. Урожайній, буд. 26-а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41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42.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Долотовській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Галині Федорівні (ідентифікаційний номер: 2042613285, адреса: вул. Степана Бандери, буд. 35, м. Нікополь) земельної ділянки на вул. Степана Бандери,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42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726757">
            <w:pPr>
              <w:ind w:left="176"/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Закаржевській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Ганні Василівні (ідентифікаційний номер: 1513218922, адреса: вул. Журавлина, буд. 59, м. Нікополь) земельної ділянки на вул. Журавлиній, буд. 59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43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Захарченку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Сергію Миколайовичу (ідентифікаційний номер: 2667400714, адреса: вул. Максима Залізняка, буд. 4, м. Нікополь) земельної ділянки на вул. Максима Залізняка,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44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Кисленко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Валентині Петрівні (1/2 ч.) (ідентифікаційний номер: 1909314405, адреса: вул. Шевченка, буд. 114а кв. 82, м.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Нікополь),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Гоєнко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Ганні Аврамівні (1/2 ч.) (ідентифікаційний номер: 1378828743, адреса: вул. Чумацька, буд. 157, м. Нікополь) земельної ділянки на вул. Чумацькій, буд. 157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45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46.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Конончук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Тетяні Миколаївні (ідентифікаційний номер: 2321018667, адреса: вул. Северина Наливайка, буд. 64, м. Нікополь) земельної ділянки на вул. Северина Наливайка, буд. 64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46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Марченку Денису Вікторовичу (8/11 ч.)  (ідентифікаційний номер: 2900603237, адреса: вул. Січнева, буд. 71, м. Нікополь), громадянці Волковій Наталі Іванівні (3/11 ч.) (ідентифікаційний номер відсутній, адреса: вул. Січнева, буд. 71, м. Нікополь), земельної ділянки на вул. Січневій, буд. 71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47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Соколику Сергію Пилиповичу (ідентифікаційний номер: 2290806693, адреса: вул.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Синевирна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2, м. Нікополь) земельної ділянки на вул.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Синевирній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2 у м. Нікополі Нікопольського району Дніпропетровської області для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48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49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Сурцеву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Сергію Сергійовичу (ідентифікаційний номер: 2725220358, адреса: вул. Раїси Кириченко, буд. 4, м. Нікополь) земельної ділянки на вул. Раїси Кириченко,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49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50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Тарасову Павлу Михайловичу (ідентифікаційний номер: 1959016913, адреса: вул. Данила Нечая, буд. 3, м. Нікополь) земельної ділянки на вул. Данила Нечая, буд. 3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50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51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Тетеріній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Світлані Володимирівні (ідентифікаційний номер: 2363907024, адреса: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Привітний, буд. 14,  м. Нікополь) земельної ділянки на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Привітному, буд. 14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ділянка);</w:t>
            </w:r>
          </w:p>
        </w:tc>
        <w:tc>
          <w:tcPr>
            <w:tcW w:w="1560" w:type="dxa"/>
          </w:tcPr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51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52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Тощаковій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Ользі Володимирівні (ідентифікаційний  номер:  2779303545,    адреса: 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Привабливий, буд. 19-а  м. Нікополь) земельної ділянки на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Привабливому, буд. 19-а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52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53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Фетісову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Володимиру Володимировичу (ідентифікаційний номер: 2878413417, адреса: вул. Гетьмана Сагайдачного, буд. 202, м. Нікополь) земельної ділянки на вул. Гетьмана Сагайдачного, буд. 202 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53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54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Фурсенко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Надії Іванівні (1/2 ч.) (ідентифікаційний номер: 1983819949, адреса: вул. Степова, буд. 113, м. Нікополь), громадянину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Педченку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Віталію Івановичу (1/2 ч.) (ідентифікаційний номер: 2423506656, адреса: вул. Петра Калнишевського, буд. 81, м. Нікополь) земельної ділянки на вул. Степовій, буд. 113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54</w:t>
            </w:r>
            <w:r>
              <w:rPr>
                <w:sz w:val="16"/>
                <w:szCs w:val="16"/>
                <w:lang w:val="uk-UA"/>
              </w:rPr>
              <w:t>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55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26757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      </w:r>
            <w:proofErr w:type="spellStart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Чепуріну</w:t>
            </w:r>
            <w:proofErr w:type="spellEnd"/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Павлу Миколайовичу (ідентифікаційний номер: 3014314590, адреса: вул. Гетьмана Сагайдачного, буд. 192, м. Нікополь) земельної ділянки на вул. Гетьмана Сагайдачного, буд. 192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будівель   і споруд (присадибна ділянка).</w:t>
            </w:r>
          </w:p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</w:tcPr>
          <w:p w:rsidR="00726757" w:rsidRPr="00BB7B39" w:rsidRDefault="00726757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</w:t>
            </w:r>
            <w:r>
              <w:rPr>
                <w:sz w:val="16"/>
                <w:szCs w:val="16"/>
                <w:lang w:val="uk-UA"/>
              </w:rPr>
              <w:t>5-50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726757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BB7B39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56.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на вул. Мостова, 78 у м. Нікополі Нікопольського району Дніпропетровської області (кадастровий номер 1211600000:03:112:0001).</w:t>
            </w:r>
          </w:p>
        </w:tc>
        <w:tc>
          <w:tcPr>
            <w:tcW w:w="1560" w:type="dxa"/>
          </w:tcPr>
          <w:p w:rsidR="00726757" w:rsidRPr="00BB7B39" w:rsidRDefault="0072675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6-50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72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5E0990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26757" w:rsidRPr="00726757" w:rsidTr="005E0990">
        <w:tc>
          <w:tcPr>
            <w:tcW w:w="533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57. </w:t>
            </w:r>
          </w:p>
        </w:tc>
        <w:tc>
          <w:tcPr>
            <w:tcW w:w="2977" w:type="dxa"/>
          </w:tcPr>
          <w:p w:rsidR="00726757" w:rsidRPr="00EF16DB" w:rsidRDefault="00726757" w:rsidP="00D37C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16D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пункту 1 рішення Нікопольської міської ради від 29.10.2021                            № 59-13/VІІІ «Про надання дозволу КОМУНАЛЬНОМУ ПІДПРИЄМСТВУ «МІСЬКЕ ПАРКОВЕ ГОСПОДАРСТВО» НІКОПОЛЬСЬКОЇ МІСЬКОЇ РАДИ  на розробку проектів землеустрою щодо відведення земельних ділянок в постійне користування на території м. Нікополя Дніпропетровської області».</w:t>
            </w:r>
          </w:p>
        </w:tc>
        <w:tc>
          <w:tcPr>
            <w:tcW w:w="1560" w:type="dxa"/>
          </w:tcPr>
          <w:p w:rsidR="00726757" w:rsidRPr="00BB7B39" w:rsidRDefault="0072675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7-50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26757" w:rsidRPr="00BB7B39" w:rsidRDefault="0072675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417" w:type="dxa"/>
          </w:tcPr>
          <w:p w:rsidR="00726757" w:rsidRPr="00114939" w:rsidRDefault="00726757" w:rsidP="0072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31.10.2024</w:t>
            </w:r>
          </w:p>
        </w:tc>
        <w:tc>
          <w:tcPr>
            <w:tcW w:w="1559" w:type="dxa"/>
          </w:tcPr>
          <w:p w:rsidR="00726757" w:rsidRPr="00114939" w:rsidRDefault="00726757" w:rsidP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26757" w:rsidRPr="00114939" w:rsidRDefault="0072675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26757" w:rsidRPr="00114939" w:rsidRDefault="005E0990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26757" w:rsidRPr="00BB7B39" w:rsidRDefault="00726757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E1A70" w:rsidRPr="00882D99" w:rsidRDefault="001E1A70" w:rsidP="00EF16DB">
      <w:pPr>
        <w:rPr>
          <w:sz w:val="16"/>
          <w:szCs w:val="16"/>
          <w:lang w:val="uk-UA"/>
        </w:rPr>
      </w:pPr>
    </w:p>
    <w:sectPr w:rsidR="001E1A70" w:rsidRPr="00882D99" w:rsidSect="00726757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26757"/>
    <w:rsid w:val="0074123E"/>
    <w:rsid w:val="00745268"/>
    <w:rsid w:val="00753ED8"/>
    <w:rsid w:val="00755A8B"/>
    <w:rsid w:val="00755AB2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3922"/>
    <w:rsid w:val="00995AF9"/>
    <w:rsid w:val="009A11A8"/>
    <w:rsid w:val="009E0646"/>
    <w:rsid w:val="009F230C"/>
    <w:rsid w:val="009F6A27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80CB5"/>
    <w:rsid w:val="00C93DB7"/>
    <w:rsid w:val="00C9660E"/>
    <w:rsid w:val="00CA20EF"/>
    <w:rsid w:val="00CA4215"/>
    <w:rsid w:val="00CB605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0963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16DB"/>
    <w:rsid w:val="00EF2E98"/>
    <w:rsid w:val="00EF6E8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,27,28,29,30,36,37,38,39,40,41,42,5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99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Normal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">
    <w:name w:val="Цитата1"/>
    <w:basedOn w:val="Normal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a">
    <w:name w:val="Текст"/>
    <w:basedOn w:val="Normal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11</Pages>
  <Words>3786</Words>
  <Characters>21584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201appgs1</cp:lastModifiedBy>
  <cp:revision>63</cp:revision>
  <dcterms:created xsi:type="dcterms:W3CDTF">2021-08-28T07:27:00Z</dcterms:created>
  <dcterms:modified xsi:type="dcterms:W3CDTF">2024-11-05T14:35:00Z</dcterms:modified>
</cp:coreProperties>
</file>