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_____Microsoft_Office_Excel1.xlsx" ContentType="application/vnd.openxmlformats-officedocument.spreadsheetml.sheet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i/>
          <w:i/>
          <w:iCs/>
          <w:sz w:val="28"/>
          <w:lang w:val="uk-UA"/>
        </w:rPr>
      </w:pPr>
      <w:r>
        <w:rPr/>
        <w:t xml:space="preserve">                                                                                  </w:t>
      </w:r>
    </w:p>
    <w:p>
      <w:pPr>
        <w:pStyle w:val="Title"/>
        <w:tabs>
          <w:tab w:val="clear" w:pos="720"/>
          <w:tab w:val="left" w:pos="-39" w:leader="none"/>
        </w:tabs>
        <w:jc w:val="left"/>
        <w:rPr>
          <w:b/>
        </w:rPr>
      </w:pPr>
      <w:r>
        <w:rPr>
          <w:b/>
        </w:rPr>
      </w:r>
    </w:p>
    <w:p>
      <w:pPr>
        <w:pStyle w:val="Title"/>
        <w:tabs>
          <w:tab w:val="clear" w:pos="720"/>
          <w:tab w:val="left" w:pos="-39" w:leader="none"/>
        </w:tabs>
        <w:rPr>
          <w:b/>
        </w:rPr>
      </w:pPr>
      <w:r>
        <w:rPr>
          <w:b/>
        </w:rPr>
        <w:t>Інформація про виконання  бюджету міста</w:t>
      </w:r>
    </w:p>
    <w:p>
      <w:pPr>
        <w:pStyle w:val="Title"/>
        <w:tabs>
          <w:tab w:val="clear" w:pos="720"/>
          <w:tab w:val="left" w:pos="-39" w:leader="none"/>
        </w:tabs>
        <w:rPr>
          <w:b/>
        </w:rPr>
      </w:pPr>
      <w:r>
        <w:rPr>
          <w:b/>
        </w:rPr>
        <w:t xml:space="preserve"> </w:t>
      </w:r>
      <w:r>
        <w:rPr>
          <w:b/>
        </w:rPr>
        <w:t>за січень-травень 2025 року</w:t>
      </w:r>
    </w:p>
    <w:p>
      <w:pPr>
        <w:pStyle w:val="Title"/>
        <w:tabs>
          <w:tab w:val="clear" w:pos="720"/>
          <w:tab w:val="left" w:pos="-39" w:leader="none"/>
        </w:tabs>
        <w:rPr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січень-травень 2025 року </w:t>
      </w:r>
      <w:r>
        <w:rPr>
          <w:sz w:val="28"/>
          <w:szCs w:val="28"/>
        </w:rPr>
        <w:t>до загального фонду бюджету міста  надійшло власних доходів у сумі</w:t>
      </w:r>
      <w:r>
        <w:rPr>
          <w:sz w:val="28"/>
          <w:szCs w:val="28"/>
          <w:lang w:val="uk-UA"/>
        </w:rPr>
        <w:t xml:space="preserve"> 338766,3 </w:t>
      </w:r>
      <w:r>
        <w:rPr>
          <w:sz w:val="28"/>
          <w:szCs w:val="28"/>
        </w:rPr>
        <w:t xml:space="preserve">тис.грн. або </w:t>
      </w:r>
      <w:r>
        <w:rPr>
          <w:sz w:val="28"/>
          <w:szCs w:val="28"/>
          <w:lang w:val="uk-UA"/>
        </w:rPr>
        <w:t>103,9%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 на звітний період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Обсяг перевиконання складає 12,6 млн.грн.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У порівнянні з аналогічним періодом 2024 року надходження доходів зросли на 33764,3 тис.грн. або на 11,1%. Найбільше збільшення спостерігається по таких основних джерелах доходів, як  податок на доходи фізичних осіб – на 35005,1 тис.грн. або на 17,4%, акцизний податок – на 3000,4 тис.грн. або на 17,7% та єдиний податок – на  3507,2 тис.грн. або на 7%.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спеціального фонду надійшло доходів у сумі 12271,3 тис.грн., планові показники перевиконано на 11844,4 тис.грн., у порівнянні з минулим роком надходження збільшилися на 4525,6 тис.грн. або  у 1,6 разів за рахунок зростання обсягів благодійної допомоги для закладів бюджетної сфери.</w:t>
      </w:r>
    </w:p>
    <w:p>
      <w:pPr>
        <w:pStyle w:val="Normal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Порівняльний аналіз надходжень основних джерел доходів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uk-UA"/>
        </w:rPr>
        <w:t xml:space="preserve">січень-травень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</w:rPr>
        <w:t xml:space="preserve"> рок</w:t>
      </w:r>
      <w:r>
        <w:rPr>
          <w:b/>
          <w:sz w:val="28"/>
          <w:szCs w:val="28"/>
          <w:lang w:val="uk-UA"/>
        </w:rPr>
        <w:t>ів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-94615</wp:posOffset>
            </wp:positionH>
            <wp:positionV relativeFrom="paragraph">
              <wp:posOffset>9525</wp:posOffset>
            </wp:positionV>
            <wp:extent cx="6766560" cy="4648200"/>
            <wp:effectExtent l="0" t="0" r="0" b="0"/>
            <wp:wrapNone/>
            <wp:docPr id="1" name="Объект 28" descr="Букет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Spacing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січень-травень 2025 року видатки загального фонду бюджету міста з урахуванням субвенцій з інших рівнів бюджетів склали </w:t>
      </w:r>
      <w:r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  <w:lang w:val="ru-RU"/>
        </w:rPr>
        <w:t>13 815,1</w:t>
      </w:r>
      <w:r>
        <w:rPr>
          <w:rFonts w:ascii="Times New Roman" w:hAnsi="Times New Roman"/>
          <w:kern w:val="2"/>
          <w:sz w:val="28"/>
          <w:szCs w:val="28"/>
        </w:rPr>
        <w:t xml:space="preserve"> тис.грн, </w:t>
      </w:r>
      <w:r>
        <w:rPr>
          <w:rFonts w:ascii="Times New Roman" w:hAnsi="Times New Roman"/>
          <w:sz w:val="28"/>
          <w:szCs w:val="28"/>
        </w:rPr>
        <w:t xml:space="preserve">що становить </w:t>
      </w:r>
      <w:r>
        <w:rPr>
          <w:rFonts w:ascii="Times New Roman" w:hAnsi="Times New Roman"/>
          <w:sz w:val="28"/>
          <w:szCs w:val="28"/>
          <w:lang w:val="ru-RU"/>
        </w:rPr>
        <w:t>39,2</w:t>
      </w:r>
      <w:r>
        <w:rPr>
          <w:rFonts w:ascii="Times New Roman" w:hAnsi="Times New Roman"/>
          <w:sz w:val="28"/>
          <w:szCs w:val="28"/>
        </w:rPr>
        <w:t xml:space="preserve">% до річного плану та </w:t>
      </w:r>
      <w:r>
        <w:rPr>
          <w:rFonts w:ascii="Times New Roman" w:hAnsi="Times New Roman"/>
          <w:sz w:val="28"/>
          <w:szCs w:val="28"/>
          <w:lang w:val="ru-RU"/>
        </w:rPr>
        <w:t>73,6</w:t>
      </w:r>
      <w:r>
        <w:rPr>
          <w:rFonts w:ascii="Times New Roman" w:hAnsi="Times New Roman"/>
          <w:sz w:val="28"/>
          <w:szCs w:val="28"/>
        </w:rPr>
        <w:t xml:space="preserve">% до плану на звітний період. Із загального обсягу видатків </w:t>
      </w:r>
      <w:r>
        <w:rPr>
          <w:rFonts w:ascii="Times New Roman" w:hAnsi="Times New Roman"/>
          <w:sz w:val="28"/>
          <w:szCs w:val="28"/>
          <w:lang w:val="ru-RU"/>
        </w:rPr>
        <w:t>85 216,7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>
        <w:rPr>
          <w:rFonts w:ascii="Times New Roman" w:hAnsi="Times New Roman"/>
          <w:sz w:val="28"/>
          <w:szCs w:val="28"/>
          <w:lang w:val="ru-RU"/>
        </w:rPr>
        <w:t>20,5</w:t>
      </w:r>
      <w:r>
        <w:rPr>
          <w:rFonts w:ascii="Times New Roman" w:hAnsi="Times New Roman"/>
          <w:sz w:val="28"/>
          <w:szCs w:val="28"/>
        </w:rPr>
        <w:t xml:space="preserve"> % забезпечено коштами міжбюджетних трансфертів (субвенцій з державного та місцевих бюджетів). Власні видатки загального фонду складають 328 598,4 тис.грн. або 79,5%. </w:t>
      </w:r>
    </w:p>
    <w:p>
      <w:pPr>
        <w:pStyle w:val="NoSpacing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загального обсягу видатків  204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394,1 тис.грн. або 49,3% - оплата праці та нарахування на заробітну плату працівників бюджетних установ, 8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655,2 тис.грн. (2,0%) – оплата енергоносіїв бюджетних установ, 21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927,3 тис.грн. або 5,2% – фінансова підтримка комунальних підприємств охорони здоров’я, 13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929,1 тис.грн. або 3,3% – матеріальна допомога громадянам міста, 8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188,4 тис.грн. (1,9%) – компенсаційні виплати за пільговий проїзд містян відповідних категорій, 93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621,1 тис.грн. або 22,6% - видатки у сфері житлово-комунального господарства, 8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575,8 тис.грн. або 2% - утримання міських доріг, 32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654,2 тис.грн. (7,8%) – усунення наслідків ворожих обстрілів. На виконання міських програм підтримки діяльності силових структур міста, заходів мобілізаційної роботи та територіальної оборони за звітний період використано 6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260,2 тис.грн. Обсяг фінансової підтримки комунальних підприємств у галузі спорту (ДЮСШ «Електрометалург» та КП «Спорт для всіх») на здійснення поточних видатків склав 2 718,6 тис.грн., комунальної аптеки (оплата праці) – 750,0 тис.грн., центру соціальної торгівлі-188,6 тис.грн., муніципальної варти – 1 334,0 тис.грн.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При плані на січень-травень – 59 894,0 тис.грн. фінансування видатків спеціального фонду (бюджету розвитку) складає 15 038,9 тис.грн., з них: 3 266,5 тис.грн.  - заходи мобілізації та територіальної оборони, 1 637,1 тис.грн. – поповнення статутного капіталу суб’єктів господарювання, </w:t>
      </w:r>
      <w:bookmarkStart w:id="0" w:name="_GoBack"/>
      <w:bookmarkEnd w:id="0"/>
      <w:r>
        <w:rPr>
          <w:sz w:val="28"/>
          <w:szCs w:val="28"/>
          <w:lang w:val="uk-UA"/>
        </w:rPr>
        <w:t>900,0 тис.грн- надання субвенції з місцевого бюджету державному бюджету на виконання програм соціально-економічного розвитку, 2 940,6 тис.грн.- придбання обладнання та проведення ремонтних робіт у  лікарнях; 4 675,6 тис.грн.- реконструкція місць почесних поховань загиблих (померлих) захисників України, 589,9 тис.грн. - внесення змін до містобудівної документації «Генеральний план м. Нікополь», 11,1 тис.грн.- експертна оцінка кошторисної частини за робочим проектом "Капітальний ремонт частини будівлі та прилеглої території КЗДО № 33", 69,9тис.грн- виготовлення ПКД та проходження експертизи для проведення капітального ремонту системи пожежної сигналізації гімназії №10,  898,7 тис.грн- вишукувальні роботи для будівництва споруд подвійного призначення ( ліцеї № 14, 25, 26), 49,5 тис.грн.- поповнення бібліотечного фонду.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w="11906" w:h="16838"/>
      <w:pgMar w:left="851" w:right="567" w:gutter="0" w:header="0" w:top="284" w:footer="0" w:bottom="28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081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2f0818"/>
    <w:pPr>
      <w:keepNext w:val="true"/>
      <w:jc w:val="both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2"/>
    <w:uiPriority w:val="99"/>
    <w:qFormat/>
    <w:rsid w:val="002f0818"/>
    <w:pPr>
      <w:keepNext w:val="true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3"/>
    <w:uiPriority w:val="99"/>
    <w:qFormat/>
    <w:rsid w:val="002f0818"/>
    <w:pPr>
      <w:keepNext w:val="true"/>
      <w:jc w:val="center"/>
      <w:outlineLvl w:val="2"/>
    </w:pPr>
    <w:rPr>
      <w:b/>
      <w:sz w:val="28"/>
      <w:lang w:val="uk-UA"/>
    </w:rPr>
  </w:style>
  <w:style w:type="paragraph" w:styleId="Heading4">
    <w:name w:val="Heading 4"/>
    <w:basedOn w:val="Normal"/>
    <w:next w:val="Normal"/>
    <w:link w:val="4"/>
    <w:uiPriority w:val="99"/>
    <w:qFormat/>
    <w:rsid w:val="002f0818"/>
    <w:pPr>
      <w:keepNext w:val="true"/>
      <w:jc w:val="center"/>
      <w:outlineLvl w:val="3"/>
    </w:pPr>
    <w:rPr>
      <w:b/>
      <w:bCs/>
      <w:i/>
      <w:i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274af4"/>
    <w:rPr>
      <w:rFonts w:ascii="Cambria" w:hAnsi="Cambria" w:eastAsia="Times New Roman" w:cs="Times New Roman"/>
      <w:b/>
      <w:bCs/>
      <w:kern w:val="2"/>
      <w:sz w:val="32"/>
      <w:szCs w:val="32"/>
      <w:lang w:val="ru-RU" w:eastAsia="ru-RU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274af4"/>
    <w:rPr>
      <w:rFonts w:ascii="Cambria" w:hAnsi="Cambria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274af4"/>
    <w:rPr>
      <w:rFonts w:ascii="Cambria" w:hAnsi="Cambria" w:eastAsia="Times New Roman" w:cs="Times New Roman"/>
      <w:b/>
      <w:bCs/>
      <w:sz w:val="26"/>
      <w:szCs w:val="26"/>
      <w:lang w:val="ru-RU" w:eastAsia="ru-RU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274af4"/>
    <w:rPr>
      <w:rFonts w:ascii="Calibri" w:hAnsi="Calibri" w:eastAsia="Times New Roman" w:cs="Times New Roman"/>
      <w:b/>
      <w:bCs/>
      <w:sz w:val="28"/>
      <w:szCs w:val="28"/>
      <w:lang w:val="ru-RU" w:eastAsia="ru-RU"/>
    </w:rPr>
  </w:style>
  <w:style w:type="character" w:styleId="Style10" w:customStyle="1">
    <w:name w:val="Основной текст Знак"/>
    <w:basedOn w:val="DefaultParagraphFont"/>
    <w:uiPriority w:val="99"/>
    <w:qFormat/>
    <w:locked/>
    <w:rsid w:val="0072294a"/>
    <w:rPr>
      <w:rFonts w:cs="Times New Roman"/>
      <w:sz w:val="28"/>
      <w:lang w:val="uk-UA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rsid w:val="00274af4"/>
    <w:rPr>
      <w:sz w:val="20"/>
      <w:szCs w:val="20"/>
      <w:lang w:val="ru-RU"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sid w:val="00274af4"/>
    <w:rPr>
      <w:sz w:val="20"/>
      <w:szCs w:val="20"/>
      <w:lang w:val="ru-RU" w:eastAsia="ru-RU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274af4"/>
    <w:rPr>
      <w:sz w:val="20"/>
      <w:szCs w:val="20"/>
      <w:lang w:val="ru-RU"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locked/>
    <w:rsid w:val="007d061f"/>
    <w:rPr>
      <w:rFonts w:cs="Times New Roman"/>
      <w:sz w:val="28"/>
    </w:rPr>
  </w:style>
  <w:style w:type="character" w:styleId="Style12" w:customStyle="1">
    <w:name w:val="Название Знак"/>
    <w:basedOn w:val="DefaultParagraphFont"/>
    <w:link w:val="Title"/>
    <w:uiPriority w:val="10"/>
    <w:qFormat/>
    <w:rsid w:val="00274af4"/>
    <w:rPr>
      <w:rFonts w:ascii="Cambria" w:hAnsi="Cambria" w:eastAsia="Times New Roman" w:cs="Times New Roman"/>
      <w:b/>
      <w:bCs/>
      <w:kern w:val="2"/>
      <w:sz w:val="32"/>
      <w:szCs w:val="32"/>
      <w:lang w:val="ru-RU"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434f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0"/>
    <w:uiPriority w:val="99"/>
    <w:rsid w:val="002f0818"/>
    <w:pPr>
      <w:jc w:val="both"/>
    </w:pPr>
    <w:rPr>
      <w:sz w:val="28"/>
      <w:lang w:val="uk-U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link w:val="Style11"/>
    <w:uiPriority w:val="99"/>
    <w:rsid w:val="002f0818"/>
    <w:pPr>
      <w:ind w:firstLine="540"/>
    </w:pPr>
    <w:rPr>
      <w:sz w:val="28"/>
      <w:lang w:val="uk-UA"/>
    </w:rPr>
  </w:style>
  <w:style w:type="paragraph" w:styleId="BodyTextIndent2">
    <w:name w:val="Body Text Indent 2"/>
    <w:basedOn w:val="Normal"/>
    <w:link w:val="21"/>
    <w:uiPriority w:val="99"/>
    <w:qFormat/>
    <w:rsid w:val="002f0818"/>
    <w:pPr>
      <w:ind w:firstLine="851"/>
      <w:jc w:val="both"/>
    </w:pPr>
    <w:rPr>
      <w:sz w:val="28"/>
      <w:lang w:val="uk-UA"/>
    </w:rPr>
  </w:style>
  <w:style w:type="paragraph" w:styleId="BodyText2">
    <w:name w:val="Body Text 2"/>
    <w:basedOn w:val="Normal"/>
    <w:link w:val="22"/>
    <w:uiPriority w:val="99"/>
    <w:qFormat/>
    <w:rsid w:val="002f0818"/>
    <w:pPr>
      <w:jc w:val="both"/>
    </w:pPr>
    <w:rPr>
      <w:sz w:val="28"/>
      <w:szCs w:val="24"/>
      <w:lang w:val="uk-UA"/>
    </w:rPr>
  </w:style>
  <w:style w:type="paragraph" w:styleId="BodyTextIndent3">
    <w:name w:val="Body Text Indent 3"/>
    <w:basedOn w:val="Normal"/>
    <w:link w:val="31"/>
    <w:uiPriority w:val="99"/>
    <w:qFormat/>
    <w:rsid w:val="002f0818"/>
    <w:pPr>
      <w:ind w:firstLine="708"/>
      <w:jc w:val="both"/>
    </w:pPr>
    <w:rPr>
      <w:sz w:val="28"/>
    </w:rPr>
  </w:style>
  <w:style w:type="paragraph" w:styleId="Title">
    <w:name w:val="Title"/>
    <w:basedOn w:val="Normal"/>
    <w:link w:val="Style12"/>
    <w:uiPriority w:val="99"/>
    <w:qFormat/>
    <w:rsid w:val="009b4f45"/>
    <w:pPr>
      <w:jc w:val="center"/>
    </w:pPr>
    <w:rPr>
      <w:sz w:val="32"/>
      <w:szCs w:val="24"/>
      <w:lang w:val="uk-UA"/>
    </w:rPr>
  </w:style>
  <w:style w:type="paragraph" w:styleId="Style14" w:customStyle="1">
    <w:name w:val="Знак Знак Знак Знак"/>
    <w:basedOn w:val="Normal"/>
    <w:uiPriority w:val="99"/>
    <w:qFormat/>
    <w:rsid w:val="00925269"/>
    <w:pPr/>
    <w:rPr>
      <w:rFonts w:ascii="Verdana" w:hAnsi="Verdana" w:cs="Verdana"/>
      <w:lang w:val="en-US" w:eastAsia="en-US"/>
    </w:rPr>
  </w:style>
  <w:style w:type="paragraph" w:styleId="Style15" w:customStyle="1">
    <w:name w:val="Знак"/>
    <w:basedOn w:val="Normal"/>
    <w:uiPriority w:val="99"/>
    <w:qFormat/>
    <w:rsid w:val="00b70b21"/>
    <w:pPr/>
    <w:rPr>
      <w:rFonts w:ascii="Verdana" w:hAnsi="Verdana" w:cs="Verdana"/>
      <w:lang w:val="en-US" w:eastAsia="en-US"/>
    </w:rPr>
  </w:style>
  <w:style w:type="paragraph" w:styleId="211" w:customStyle="1">
    <w:name w:val="Основной текст с отступом 21"/>
    <w:basedOn w:val="Normal"/>
    <w:uiPriority w:val="99"/>
    <w:qFormat/>
    <w:rsid w:val="007d061f"/>
    <w:pPr>
      <w:suppressAutoHyphens w:val="true"/>
      <w:ind w:firstLine="720"/>
    </w:pPr>
    <w:rPr>
      <w:sz w:val="24"/>
      <w:szCs w:val="24"/>
      <w:lang w:val="uk-UA" w:eastAsia="zh-CN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434f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6d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9b4f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3"/>
      <c:rotY val="44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solidFill>
          <a:srgbClr val="fcd5b5"/>
        </a:solidFill>
        <a:ln w="9360">
          <a:solidFill>
            <a:srgbClr val="878787"/>
          </a:solidFill>
          <a:round/>
        </a:ln>
      </c:spPr>
    </c:sideWall>
    <c:backWall>
      <c:spPr>
        <a:solidFill>
          <a:srgbClr val="fcd5b5"/>
        </a:solidFill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9475"/>
          <c:y val="0.0175555555555556"/>
          <c:w val="0.8979375"/>
          <c:h val="0.724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ab4744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ab4744"/>
              </a:solidFill>
              <a:ln w="0">
                <a:noFill/>
              </a:ln>
            </c:spPr>
          </c:dPt>
          <c:dLbls>
            <c:numFmt formatCode="0.0" sourceLinked="0"/>
            <c:dLbl>
              <c:idx val="0"/>
              <c:layout>
                <c:manualLayout>
                  <c:x val="0.0176796293466872"/>
                  <c:y val="-0.0316927964218377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120243254895734"/>
                  <c:y val="-0.0122863153341787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679646312222513"/>
                  <c:y val="-0.0125029601562962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0983667672516082"/>
                  <c:y val="-0.0105282649327925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i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201594.3</c:v>
                </c:pt>
                <c:pt idx="1">
                  <c:v>21578.7</c:v>
                </c:pt>
                <c:pt idx="2">
                  <c:v>50058.8</c:v>
                </c:pt>
                <c:pt idx="3">
                  <c:v>305002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d0949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d09493"/>
              </a:solidFill>
              <a:ln w="0">
                <a:noFill/>
              </a:ln>
            </c:spPr>
          </c:dPt>
          <c:dLbls>
            <c:numFmt formatCode="0.0" sourceLinked="0"/>
            <c:dLbl>
              <c:idx val="0"/>
              <c:layout>
                <c:manualLayout>
                  <c:x val="0.0844303457000313"/>
                  <c:y val="-0.00396038857211816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601639533234024"/>
                  <c:y val="-0.0178728467131264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679915643990449"/>
                  <c:y val="-0.0192144085437596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734073147951101"/>
                  <c:y val="0"/>
                </c:manualLayout>
              </c:layout>
              <c:numFmt formatCode="0.0" sourceLinked="0"/>
              <c:txPr>
                <a:bodyPr wrap="square"/>
                <a:lstStyle/>
                <a:p>
                  <a:pPr>
                    <a:defRPr b="1" i="1" sz="12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i="1" sz="12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236599.4</c:v>
                </c:pt>
                <c:pt idx="1">
                  <c:v>21174.4</c:v>
                </c:pt>
                <c:pt idx="2">
                  <c:v>53566</c:v>
                </c:pt>
                <c:pt idx="3">
                  <c:v>338766.3</c:v>
                </c:pt>
              </c:numCache>
            </c:numRef>
          </c:val>
        </c:ser>
        <c:gapWidth val="150"/>
        <c:shape val="box"/>
        <c:axId val="66213212"/>
        <c:axId val="37808341"/>
        <c:axId val="0"/>
      </c:bar3DChart>
      <c:catAx>
        <c:axId val="662132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2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7808341"/>
        <c:crosses val="autoZero"/>
        <c:auto val="1"/>
        <c:lblAlgn val="ctr"/>
        <c:lblOffset val="100"/>
        <c:noMultiLvlLbl val="0"/>
      </c:catAx>
      <c:valAx>
        <c:axId val="37808341"/>
        <c:scaling>
          <c:orientation val="minMax"/>
          <c:max val="3500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2132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425"/>
          <c:y val="0.84"/>
          <c:w val="0.750046877929871"/>
          <c:h val="0.0952328036448494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i="1" sz="16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90F1-4836-4991-ADE5-75832AB1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LibreOffice/24.2.7.2$Linux_X86_64 LibreOffice_project/420$Build-2</Application>
  <AppVersion>15.0000</AppVersion>
  <Pages>2</Pages>
  <Words>487</Words>
  <Characters>3169</Characters>
  <CharactersWithSpaces>3772</CharactersWithSpaces>
  <Paragraphs>12</Paragraphs>
  <Company>GS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2022-01-11T08:16:00Z</dcterms:created>
  <dc:creator>Default</dc:creator>
  <dc:description/>
  <dc:language>en-US</dc:language>
  <cp:lastModifiedBy>722salem2</cp:lastModifiedBy>
  <cp:lastPrinted>2021-05-07T06:08:00Z</cp:lastPrinted>
  <dcterms:modified xsi:type="dcterms:W3CDTF">2025-06-06T12:14:00Z</dcterms:modified>
  <cp:revision>24</cp:revision>
  <dc:subject/>
  <dc:title>Заступнику міського голови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